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4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60"/>
        <w:jc w:val="center"/>
      </w:pPr>
      <w:r>
        <w:rPr>
          <w:rFonts w:ascii="Arial" w:cs="Arial" w:eastAsia="Arial" w:hAnsi="Arial"/>
          <w:b/>
          <w:bCs/>
          <w:color w:val="1a6b3c"/>
          <w:sz w:val="64"/>
          <w:szCs w:val="64"/>
        </w:rPr>
        <w:t xml:space="preserve">RPAForce</w:t>
      </w:r>
    </w:p>
    <w:p>
      <w:pPr>
        <w:pBdr>
          <w:bottom w:val="single" w:color="12CA5B" w:sz="12" w:space="0"/>
        </w:pBdr>
        <w:spacing w:after="20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60"/>
        <w:jc w:val="center"/>
      </w:pPr>
      <w:r>
        <w:rPr>
          <w:rFonts w:ascii="Arial" w:cs="Arial" w:eastAsia="Arial" w:hAnsi="Arial"/>
          <w:b/>
          <w:bCs/>
          <w:color w:val="333333"/>
          <w:sz w:val="40"/>
          <w:szCs w:val="40"/>
        </w:rPr>
        <w:t xml:space="preserve">RPA Implementation Guide</w:t>
      </w:r>
    </w:p>
    <w:p>
      <w:pPr>
        <w:spacing w:after="120"/>
        <w:jc w:val="center"/>
      </w:pPr>
      <w:r>
        <w:rPr>
          <w:rFonts w:ascii="Arial" w:cs="Arial" w:eastAsia="Arial" w:hAnsi="Arial"/>
          <w:color w:val="555555"/>
          <w:sz w:val="26"/>
          <w:szCs w:val="26"/>
        </w:rPr>
        <w:t xml:space="preserve">Step-by-step methodology for process automation</w:t>
      </w:r>
    </w:p>
    <w:p>
      <w:pPr>
        <w:spacing w:after="1440"/>
        <w:jc w:val="center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UiPath · Automation Anywhere · Power Automate · Blue Prism</w:t>
      </w:r>
    </w:p>
    <w:p>
      <w:pPr>
        <w:spacing w:after="0"/>
        <w:jc w:val="center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Version 2.1 — March 2026</w:t>
      </w:r>
    </w:p>
    <w:p>
      <w:r>
        <w:br w:type="pag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Introduction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This guide describes the RPAForce standard methodology for implementing Robotic Process Automation (RPA) projects. It applies to all platforms (UiPath, Automation Anywhere, Power Automate, Blue Prism) and all complexity levels.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The goal is to ensure every project is delivered with high quality, on time and with full client acceptance.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Phase summary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5546"/>
        <w:gridCol w:w="300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Phase 1</w:t>
            </w:r>
          </w:p>
        </w:tc>
        <w:tc>
          <w:tcPr>
            <w:tcW w:type="dxa" w:w="5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0d9640"/>
                <w:sz w:val="24"/>
                <w:szCs w:val="24"/>
              </w:rPr>
              <w:t xml:space="preserve">Discovery &amp; Assessment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Complete mapping of the current process with the AI Assistant and the client team.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⏱ </w:t>
            </w:r>
            <w:r>
              <w:rPr>
                <w:rFonts w:ascii="Arial" w:cs="Arial" w:eastAsia="Arial" w:hAnsi="Arial"/>
                <w:b/>
                <w:bCs/>
                <w:color w:val="0d9640"/>
                <w:sz w:val="22"/>
                <w:szCs w:val="22"/>
              </w:rPr>
              <w:t xml:space="preserve">1-2 weeks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5546"/>
        <w:gridCol w:w="300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Phase 2</w:t>
            </w:r>
          </w:p>
        </w:tc>
        <w:tc>
          <w:tcPr>
            <w:tcW w:type="dxa" w:w="5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0d9640"/>
                <w:sz w:val="24"/>
                <w:szCs w:val="24"/>
              </w:rPr>
              <w:t xml:space="preserve">PDD — Process Design Document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Detailed technical specification of the robot: flow, exceptions, systems, credentials.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⏱ </w:t>
            </w:r>
            <w:r>
              <w:rPr>
                <w:rFonts w:ascii="Arial" w:cs="Arial" w:eastAsia="Arial" w:hAnsi="Arial"/>
                <w:b/>
                <w:bCs/>
                <w:color w:val="0d9640"/>
                <w:sz w:val="22"/>
                <w:szCs w:val="22"/>
              </w:rPr>
              <w:t xml:space="preserve">1-3 weeks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5546"/>
        <w:gridCol w:w="300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Phase 3</w:t>
            </w:r>
          </w:p>
        </w:tc>
        <w:tc>
          <w:tcPr>
            <w:tcW w:type="dxa" w:w="5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0d9640"/>
                <w:sz w:val="24"/>
                <w:szCs w:val="24"/>
              </w:rPr>
              <w:t xml:space="preserve">Development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Building the robot on the selected platform.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⏱ </w:t>
            </w:r>
            <w:r>
              <w:rPr>
                <w:rFonts w:ascii="Arial" w:cs="Arial" w:eastAsia="Arial" w:hAnsi="Arial"/>
                <w:b/>
                <w:bCs/>
                <w:color w:val="0d9640"/>
                <w:sz w:val="22"/>
                <w:szCs w:val="22"/>
              </w:rPr>
              <w:t xml:space="preserve">2-8 weeks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5546"/>
        <w:gridCol w:w="300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Phase 4</w:t>
            </w:r>
          </w:p>
        </w:tc>
        <w:tc>
          <w:tcPr>
            <w:tcW w:type="dxa" w:w="5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0d9640"/>
                <w:sz w:val="24"/>
                <w:szCs w:val="24"/>
              </w:rPr>
              <w:t xml:space="preserve">UAT — User Acceptance Testing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Testing with the client using real data. Issue resolution.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⏱ </w:t>
            </w:r>
            <w:r>
              <w:rPr>
                <w:rFonts w:ascii="Arial" w:cs="Arial" w:eastAsia="Arial" w:hAnsi="Arial"/>
                <w:b/>
                <w:bCs/>
                <w:color w:val="0d9640"/>
                <w:sz w:val="22"/>
                <w:szCs w:val="22"/>
              </w:rPr>
              <w:t xml:space="preserve">1-2 weeks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5546"/>
        <w:gridCol w:w="300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Phase 5</w:t>
            </w:r>
          </w:p>
        </w:tc>
        <w:tc>
          <w:tcPr>
            <w:tcW w:type="dxa" w:w="5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0d9640"/>
                <w:sz w:val="24"/>
                <w:szCs w:val="24"/>
              </w:rPr>
              <w:t xml:space="preserve">Deploy &amp; Go-Live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Production configuration, go-live checklist and supervised first run.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⏱ </w:t>
            </w:r>
            <w:r>
              <w:rPr>
                <w:rFonts w:ascii="Arial" w:cs="Arial" w:eastAsia="Arial" w:hAnsi="Arial"/>
                <w:b/>
                <w:bCs/>
                <w:color w:val="0d9640"/>
                <w:sz w:val="22"/>
                <w:szCs w:val="22"/>
              </w:rPr>
              <w:t xml:space="preserve">1 week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5546"/>
        <w:gridCol w:w="300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Phase 6</w:t>
            </w:r>
          </w:p>
        </w:tc>
        <w:tc>
          <w:tcPr>
            <w:tcW w:type="dxa" w:w="5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BF7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0d9640"/>
                <w:sz w:val="24"/>
                <w:szCs w:val="24"/>
              </w:rPr>
              <w:t xml:space="preserve">Support &amp; Maintenance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Monitoring, updates for system changes and incident management.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⏱ </w:t>
            </w:r>
            <w:r>
              <w:rPr>
                <w:rFonts w:ascii="Arial" w:cs="Arial" w:eastAsia="Arial" w:hAnsi="Arial"/>
                <w:b/>
                <w:bCs/>
                <w:color w:val="0d9640"/>
                <w:sz w:val="22"/>
                <w:szCs w:val="22"/>
              </w:rPr>
              <w:t xml:space="preserve">Ongoing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Phase 1 — Discovery &amp; Assessment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Objective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Obtain a complete and accurate description of the process to automate: steps, systems, volume, exceptions and technical factors.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Required participants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Process Owner: approves scope and has decision-making authority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Key Users: run the process daily and know all special cases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RPAForce Advisor: facilitates the session and ensures information is complete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Method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RPAForce's AI Assistant conducts the Discovery session with structured questions. The result is a JSON with all process data that automatically feeds the AS-IS report and proposal.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Deliverables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>Discovery report with BPMN process diagram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Complexity analysis and estimated automation %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Preliminary ROI calculation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Technical risk identification (Citrix, terminals, anti-bots)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Phase 2 — PDD (Process Design Document)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Objective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Document in detail how the robot will work: every step, every decision, every exception.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PDD contents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Functional description of the robot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TO-BE flow diagram (how the automated process will work)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Complete list of required systems and credentials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Exception cases and how the robot handles them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Implemented business rules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Acceptance criteria (what constitutes a successful run)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Expected input and output data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Approval criterion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The PDD must be signed by the Process Owner before development begins. Without an approved signature, coding does not start.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Phase 3 — Development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Coding standards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Variable naming: camelCase, in English, descriptive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Error handling: try-catch on every critical activity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Logs: record start, end, processed transactions and errors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Credentials: only from Orchestrator Assets or vault — never hardcoded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Modularization: separate independent sub-processes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Version control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All code lives in the version control repository. Each commit must include the issue or task number and a short description of the change.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Code review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Before moving to UAT, code must be reviewed by a second developer. The review checklist includes: error handling, credentials, logs, performance and PDD compliance.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Phase 4 — UAT (User Acceptance Testing)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Objective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Validate with the client that the robot works correctly using real data and conditions.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UAT protocol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Prepare a test data set covering: happy path, exception cases, edge cases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Run the robot in the testing environment with the prepared data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The Key User verifies results transaction by transaction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Log all issues in the UAT spreadsheet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Classify issues: Blocking / Major / Minor / Enhancement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Fix all Blocking and Major issues before go-live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Client signs the UAT acceptance certificate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⚠️ Go-live criterion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Do not go live with open Blocking or Major issues.</w:t>
            </w:r>
          </w:p>
        </w:tc>
      </w:tr>
      <w:tr>
        <w:tc>
          <w:tcPr>
            <w:tcW w:type="dxa" w:w="97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7ef" w:val="clear"/>
            <w:tcMar>
              <w:top w:type="dxa" w:w="60"/>
              <w:left w:type="dxa" w:w="160"/>
              <w:bottom w:type="dxa" w:w="60"/>
              <w:right w:type="dxa" w:w="16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Minor issues can remain as backlog for the first maintenance update.</w:t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Phase 5 — Deploy &amp; Go-Live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Prerequisites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Complete the Go-Live Checklist before running in production. See document: RPAForce_GoLive_Checklist.docx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Go-live process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Deploy the robot in the production environment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Verify access and credentials in production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First run supervised live by both RPAForce and client teams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Validate first run results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Enable automated scheduling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Deliver technical documentation and operational manual to client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Sign the go-live acceptance certificate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Phase 6 — Support &amp; Maintenance</w:t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Standard coverage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Execution monitoring and failure alerts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Post-production bug fixes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Robot updates when involved systems change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Monthly execution reports (processed transactions, time, errors)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333333"/>
          <w:sz w:val="26"/>
          <w:szCs w:val="26"/>
        </w:rPr>
        <w:t xml:space="preserve">Change Requests</w:t>
      </w:r>
    </w:p>
    <w:p>
      <w:pPr>
        <w:spacing w:after="12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Scope changes outside the original contract are formalized through a Change Request (CR). The CR includes: change description, robot impact, hour estimate and price. Requires client approval before execution.</w:t>
      </w:r>
    </w:p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Supported platforms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546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Platform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Best for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UiPath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Enterprise projects with Orchestrator, high complexity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Automation Anywhere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Environments with Citrix or legacy applications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Power Automate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Integration with Microsoft 365 ecosystem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Blue Prism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Projects with strict audit and compliance requirements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Custom RPA (Python/Playwright)</w:t>
            </w:r>
          </w:p>
        </w:tc>
        <w:tc>
          <w:tcPr>
            <w:tcW w:type="dxa" w:w="65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Simple web processes or low volume</w:t>
            </w:r>
          </w:p>
        </w:tc>
      </w:tr>
    </w:tbl>
    <w:p>
      <w:pPr>
        <w:spacing w:after="1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p>
      <w:pPr>
        <w:pStyle w:val="Heading1"/>
        <w:pBdr>
          <w:bottom w:val="single" w:color="12CA5B" w:sz="6" w:space="4"/>
        </w:pBdr>
        <w:spacing w:before="360" w:after="160"/>
      </w:pPr>
      <w:r>
        <w:rPr>
          <w:rFonts w:ascii="Arial" w:cs="Arial" w:eastAsia="Arial" w:hAnsi="Arial"/>
          <w:b/>
          <w:bCs/>
          <w:color w:val="1a6b3c"/>
          <w:sz w:val="34"/>
          <w:szCs w:val="34"/>
        </w:rPr>
        <w:t xml:space="preserve">Special technical factors</w:t>
      </w:r>
    </w:p>
    <w:p>
      <w:pPr>
        <w:spacing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6146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Factor</w:t>
            </w:r>
          </w:p>
        </w:tc>
        <w:tc>
          <w:tcPr>
            <w:tcW w:type="dxa" w:w="6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6b3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Implementation impact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Citrix / VDI</w:t>
            </w:r>
          </w:p>
        </w:tc>
        <w:tc>
          <w:tcPr>
            <w:tcW w:type="dxa" w:w="6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Requires Computer Vision — increases complexity and development time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Terminal / AS/400</w:t>
            </w:r>
          </w:p>
        </w:tc>
        <w:tc>
          <w:tcPr>
            <w:tcW w:type="dxa" w:w="6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Requires integrated terminal emulator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CAPTCHA</w:t>
            </w:r>
          </w:p>
        </w:tc>
        <w:tc>
          <w:tcPr>
            <w:tcW w:type="dxa" w:w="6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Specific solution per type — may require human intervention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Physical token / MFA</w:t>
            </w:r>
          </w:p>
        </w:tc>
        <w:tc>
          <w:tcPr>
            <w:tcW w:type="dxa" w:w="6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Requires IT coordination for special service account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Available API</w:t>
            </w:r>
          </w:p>
        </w:tc>
        <w:tc>
          <w:tcPr>
            <w:tcW w:type="dxa" w:w="6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Reduces complexity — prefer API over UI when possible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AFA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Unstable / slow system</w:t>
            </w:r>
          </w:p>
        </w:tc>
        <w:tc>
          <w:tcPr>
            <w:tcW w:type="dxa" w:w="614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Requires special timeout and retry handling</w:t>
            </w:r>
          </w:p>
        </w:tc>
      </w:tr>
    </w:tbl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60"/>
      <w:outlineLvl w:val="0"/>
    </w:pPr>
    <w:rPr>
      <w:rFonts w:ascii="Arial" w:cs="Arial" w:eastAsia="Arial" w:hAnsi="Arial"/>
      <w:b/>
      <w:bCs/>
      <w:color w:val="1a6b3c"/>
      <w:sz w:val="34"/>
      <w:szCs w:val="34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333333"/>
      <w:sz w:val="26"/>
      <w:szCs w:val="26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2026-03-11T18:17:33.957Z</dcterms:created>
  <dcterms:modified xsi:type="dcterms:W3CDTF">2026-03-11T18:17:33.957Z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