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4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60"/>
        <w:jc w:val="center"/>
      </w:pPr>
      <w:r>
        <w:rPr>
          <w:rFonts w:ascii="Arial" w:cs="Arial" w:eastAsia="Arial" w:hAnsi="Arial"/>
          <w:b/>
          <w:bCs/>
          <w:color w:val="1a6b3c"/>
          <w:sz w:val="64"/>
          <w:szCs w:val="64"/>
        </w:rPr>
        <w:t xml:space="preserve">RPAForce</w:t>
      </w:r>
    </w:p>
    <w:p>
      <w:pPr>
        <w:pBdr>
          <w:bottom w:val="single" w:color="12CA5B" w:sz="12" w:space="0"/>
        </w:pBdr>
        <w:spacing w:after="2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60"/>
        <w:jc w:val="center"/>
      </w:pPr>
      <w:r>
        <w:rPr>
          <w:rFonts w:ascii="Arial" w:cs="Arial" w:eastAsia="Arial" w:hAnsi="Arial"/>
          <w:b/>
          <w:bCs/>
          <w:color w:val="333333"/>
          <w:sz w:val="40"/>
          <w:szCs w:val="40"/>
        </w:rPr>
        <w:t xml:space="preserve">ROI Calculator — RPA</w:t>
      </w:r>
    </w:p>
    <w:p>
      <w:pPr>
        <w:spacing w:after="120"/>
        <w:jc w:val="center"/>
      </w:pPr>
      <w:r>
        <w:rPr>
          <w:rFonts w:ascii="Arial" w:cs="Arial" w:eastAsia="Arial" w:hAnsi="Arial"/>
          <w:color w:val="555555"/>
          <w:sz w:val="26"/>
          <w:szCs w:val="26"/>
        </w:rPr>
        <w:t xml:space="preserve">Return on Investment for Automation</w:t>
      </w:r>
    </w:p>
    <w:p>
      <w:pPr>
        <w:spacing w:after="1440"/>
        <w:jc w:val="center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Fill in your process data to estimate ROI</w:t>
      </w:r>
    </w:p>
    <w:p>
      <w:pPr>
        <w:spacing w:after="0"/>
        <w:jc w:val="center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Version 2.0 — March 2026</w:t>
      </w:r>
    </w:p>
    <w:p>
      <w:r>
        <w:br w:type="pag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How to use this calculator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Fill in the fields with white background. Green-tinted cells are labels. Results in the "Calculated Results" section use the formulas shown.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💡 Tip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Use real process data for accurate results.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If you don't have exact data, use conservative estimates (lean low).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The calculated ROI considers only the first process. For multi-process projects, add up the savings.</w:t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Section A — Current process cost (manual situation)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2400"/>
        <w:gridCol w:w="2146"/>
      </w:tblGrid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Parameter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Unit</w:t>
            </w:r>
          </w:p>
        </w:tc>
        <w:tc>
          <w:tcPr>
            <w:tcW w:type="dxa" w:w="2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Current value</w:t>
            </w:r>
          </w:p>
        </w:tc>
      </w:tr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Number of people running the process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people</w:t>
            </w:r>
          </w:p>
        </w:tc>
        <w:tc>
          <w:tcPr>
            <w:tcW w:type="dxa" w:w="2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Hours per person per execution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hrs/execution</w:t>
            </w:r>
          </w:p>
        </w:tc>
        <w:tc>
          <w:tcPr>
            <w:tcW w:type="dxa" w:w="2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Execution frequency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times/month</w:t>
            </w:r>
          </w:p>
        </w:tc>
        <w:tc>
          <w:tcPr>
            <w:tcW w:type="dxa" w:w="2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Average hourly labor cost (gross + benefits)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$/hour</w:t>
            </w:r>
          </w:p>
        </w:tc>
        <w:tc>
          <w:tcPr>
            <w:tcW w:type="dxa" w:w="2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Estimated manual error rate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% transactions</w:t>
            </w:r>
          </w:p>
        </w:tc>
        <w:tc>
          <w:tcPr>
            <w:tcW w:type="dxa" w:w="2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Average cost per error (rework + impact)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$/error</w:t>
            </w:r>
          </w:p>
        </w:tc>
        <w:tc>
          <w:tcPr>
            <w:tcW w:type="dxa" w:w="2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Transactions processed per month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transactions/month</w:t>
            </w:r>
          </w:p>
        </w:tc>
        <w:tc>
          <w:tcPr>
            <w:tcW w:type="dxa" w:w="2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/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Total hours/month = people × hours/execution × frequency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Labor cost/month = total hours × hourly cost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Error cost/month = transactions × error rate × cost per error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TOTAL MANUAL COST/MONTH = labor cost + error cost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Section B — RPA solution cost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2400"/>
        <w:gridCol w:w="2146"/>
      </w:tblGrid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Parameter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Unit</w:t>
            </w:r>
          </w:p>
        </w:tc>
        <w:tc>
          <w:tcPr>
            <w:tcW w:type="dxa" w:w="2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Value</w:t>
            </w:r>
          </w:p>
        </w:tc>
      </w:tr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Initial investment (development + PDD + UAT)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$</w:t>
            </w:r>
          </w:p>
        </w:tc>
        <w:tc>
          <w:tcPr>
            <w:tcW w:type="dxa" w:w="2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Monthly RPA platform license cost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$/month</w:t>
            </w:r>
          </w:p>
        </w:tc>
        <w:tc>
          <w:tcPr>
            <w:tcW w:type="dxa" w:w="2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Monthly support and maintenance cost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$/month</w:t>
            </w:r>
          </w:p>
        </w:tc>
        <w:tc>
          <w:tcPr>
            <w:tcW w:type="dxa" w:w="2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Monthly infrastructure/server cost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$/month</w:t>
            </w:r>
          </w:p>
        </w:tc>
        <w:tc>
          <w:tcPr>
            <w:tcW w:type="dxa" w:w="2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Estimated human supervision time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hrs/month</w:t>
            </w:r>
          </w:p>
        </w:tc>
        <w:tc>
          <w:tcPr>
            <w:tcW w:type="dxa" w:w="2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Supervisor hourly cost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$/hour</w:t>
            </w:r>
          </w:p>
        </w:tc>
        <w:tc>
          <w:tcPr>
            <w:tcW w:type="dxa" w:w="2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/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Monthly RPA operating cost = license + support + infra + (supervision × hourly cost)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Year 1 total investment = initial investment + (operating cost × 12)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Section C — Calculated results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4546"/>
      </w:tblGrid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Indicator</w:t>
            </w:r>
          </w:p>
        </w:tc>
        <w:tc>
          <w:tcPr>
            <w:tcW w:type="dxa" w:w="4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Result (fill in)</w:t>
            </w:r>
          </w:p>
        </w:tc>
      </w:tr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Monthly savings</w:t>
            </w:r>
          </w:p>
        </w:tc>
        <w:tc>
          <w:tcPr>
            <w:tcW w:type="dxa" w:w="4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Manual cost/month − RPA operating cost/month</w:t>
            </w:r>
          </w:p>
        </w:tc>
      </w:tr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Monthly ROI %</w:t>
            </w:r>
          </w:p>
        </w:tc>
        <w:tc>
          <w:tcPr>
            <w:tcW w:type="dxa" w:w="4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(Monthly savings / RPA operating cost) × 100</w:t>
            </w:r>
          </w:p>
        </w:tc>
      </w:tr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Payback (months)</w:t>
            </w:r>
          </w:p>
        </w:tc>
        <w:tc>
          <w:tcPr>
            <w:tcW w:type="dxa" w:w="4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Initial investment / Monthly savings</w:t>
            </w:r>
          </w:p>
        </w:tc>
      </w:tr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Year 1 savings</w:t>
            </w:r>
          </w:p>
        </w:tc>
        <w:tc>
          <w:tcPr>
            <w:tcW w:type="dxa" w:w="4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(Monthly savings × 12) − Initial investment</w:t>
            </w:r>
          </w:p>
        </w:tc>
      </w:tr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Year 2 savings</w:t>
            </w:r>
          </w:p>
        </w:tc>
        <w:tc>
          <w:tcPr>
            <w:tcW w:type="dxa" w:w="4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Monthly savings × 12</w:t>
            </w:r>
          </w:p>
        </w:tc>
      </w:tr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Year 3 savings</w:t>
            </w:r>
          </w:p>
        </w:tc>
        <w:tc>
          <w:tcPr>
            <w:tcW w:type="dxa" w:w="4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Monthly savings × 12</w:t>
            </w:r>
          </w:p>
        </w:tc>
      </w:tr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3-year NPV (10% discount rate)</w:t>
            </w:r>
          </w:p>
        </w:tc>
        <w:tc>
          <w:tcPr>
            <w:tcW w:type="dxa" w:w="4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Calculate with NPV formula in Excel</w:t>
            </w:r>
          </w:p>
        </w:tc>
      </w:tr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Hours freed/month</w:t>
            </w:r>
          </w:p>
        </w:tc>
        <w:tc>
          <w:tcPr>
            <w:tcW w:type="dxa" w:w="4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Total manual hours − RPA supervision hours</w:t>
            </w:r>
          </w:p>
        </w:tc>
      </w:tr>
      <w:tr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Error rate reduction</w:t>
            </w:r>
          </w:p>
        </w:tc>
        <w:tc>
          <w:tcPr>
            <w:tcW w:type="dxa" w:w="4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100% − RPA error rate (typically &lt; 0.1%)</w:t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Section D — Assumptions and notes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746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Assumption</w:t>
            </w:r>
          </w:p>
        </w:tc>
        <w:tc>
          <w:tcPr>
            <w:tcW w:type="dxa" w:w="5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RPAForce standard value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RPA robot error rate</w:t>
            </w:r>
          </w:p>
        </w:tc>
        <w:tc>
          <w:tcPr>
            <w:tcW w:type="dxa" w:w="5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&lt; 0.1% (vs 2-5% manual)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Robot availability</w:t>
            </w:r>
          </w:p>
        </w:tc>
        <w:tc>
          <w:tcPr>
            <w:tcW w:type="dxa" w:w="5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99.5% (24/7 except maintenance)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Typical payback period</w:t>
            </w:r>
          </w:p>
        </w:tc>
        <w:tc>
          <w:tcPr>
            <w:tcW w:type="dxa" w:w="5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6-18 months depending on complexity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Process time reduction</w:t>
            </w:r>
          </w:p>
        </w:tc>
        <w:tc>
          <w:tcPr>
            <w:tcW w:type="dxa" w:w="5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70-95% vs manual process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NPV discount rate</w:t>
            </w:r>
          </w:p>
        </w:tc>
        <w:tc>
          <w:tcPr>
            <w:tcW w:type="dxa" w:w="5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10% annual (adjust per company)</w:t>
            </w:r>
          </w:p>
        </w:tc>
      </w:tr>
    </w:tbl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20" w:after="120"/>
      <w:outlineLvl w:val="0"/>
    </w:pPr>
    <w:rPr>
      <w:rFonts w:ascii="Arial" w:cs="Arial" w:eastAsia="Arial" w:hAnsi="Arial"/>
      <w:b/>
      <w:bCs/>
      <w:color w:val="1a6b3c"/>
      <w:sz w:val="30"/>
      <w:szCs w:val="3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2026-03-11T18:17:33.882Z</dcterms:created>
  <dcterms:modified xsi:type="dcterms:W3CDTF">2026-03-11T18:17:33.882Z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