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RPAForce CRM Desktop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Manual del Equipo Interno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>Versión 2.3 — Abril 2026 — Marzo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Introducción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CRM Desktop es la herramienta central del equipo de ventas de RPAForce. Desde aquí gestionás el pipeline completo: desde el primer contacto con un prospecto hasta el cierre del contrato. Todo en un único archivo HTML que abrís en el navegador.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🚀 Cómo abrirlo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Abrí el archivo RPAForce_CRM_Desktop.html en Chrome o Edge.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El sistema se conecta automáticamente al backend.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Si ves "Error de conexión", verificá que tenés internet.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El acceso es por OTP — ingresás tu email y recibirás un código de 6 dígitos.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Acceso y Sesión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CRM Desktop usa autenticación OTP (One-Time Password). No hay contraseña fija.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la pantalla de login, ingresás tu email registrado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Hacés clic en "Enviar código"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Recibís un email con un código de 6 dígitos (válido 10 minutos)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Ingresás el código y accedés al sistema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sesión se mantiene activa hasta que hagas logout con el botón ⏻ en el pie del sidebar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🔐 Usuarios y roles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Admin: acceso total incluyendo la sección Usuarios para gestionar el equipo.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Sales: acceso a pipeline, deals, contactos, documentos y tareas.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Viewer: solo lectura.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Los usuarios los gestiona el Admin desde la sección Usuarios del menú lateral.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El Pipeline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¿Qué ves en el Pipeline?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>El Pipeline es la pantalla más importante del CRM. Muestra todos los deals activos organizados por etapa: Lead → Discovery → Cotización → Firmado → En Ejecución → Ganado. Lead → Discovery → Cotización → Firmado → En Ejecución → Ganado.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Cómo leer una tarjeta de deal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Cada tarjeta muestra: nombre de la empresa, descripción corta del deal, fecha de creación y valor estimado.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Cómo crear un deal nuevo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el botón "+ Nuevo Deal" en la parte superior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Seleccioná el contacto del prospecto (si no existe, crealo primero en Contactos)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Completá el asesor asignado (opcional)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"Descripción" podés escribir hasta 20 caracteres que identifiquen el deal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Guardar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>El Flujo del Deal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>Cuando hacés clic en una tarjeta del Pipeline, entrás al wizard que guía el proceso comercial.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Paso 1 — Registro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 completa al crear el deal. Verificá que tenga: contacto asignado, idioma (español o inglés), y asesor asignado si corresponde.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2 — Discovery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"Agendar reunión"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Hacé clic en "Iniciar Discovery" para comenzar la sesión con el Asistente IA.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Guardar — el sistema envía confirmación al cliente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El sistema guarda el historial de chat y podés retomar donde se dejó.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Paso 3 — Discovery con el Asistente IA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 es la etapa central. El Asistente IA conduce la entrevista para mapear los procesos del cliente.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👥 Antes de iniciar el Discovery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Coordiná con el cliente que participen: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Process Owner: quien toma decisiones sobre el proceso (gerente, jefe de área).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Key Users: quienes ejecutan el proceso día a día.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Esta combinación es fundamental para obtener información completa y precisa.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"Iniciar Discovery"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Asistente envía un mensaje de bienvenida personalizado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Respondé las preguntas de forma natural — el Asistente guía todo el proceso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Cuando el cliente confirme que analizó todos sus procesos, el sistema genera el JSON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El sistema genera la Propuesta y avanza al Paso 3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💡 Podés interrumpir el Discovery y retomarlo después. El chat se guarda en la base de datos.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3 — Propuesta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Revisá la propuesta generada con el botón "Ver Propuesta"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Si el cliente aprueba desde el email, el deal avanza automáticamente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Si querés aprobarlo desde el CRM, usá el botón "Aprobar Propuesta"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Una vez aprobado, avanzás a la Propuesta con "→ Propuesta"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3 — Propuesta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"Generar Propuesta"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sistema genera el documento con precios, Gantt y detalles técnicos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 envía automáticamente al cliente (y en CC al asesor y a Tamara)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 el cliente aprueba desde el email, el deal avanza automáticamente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4 — Contrato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"Generar Contrato"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contrato se envía al cliente con link de firma digital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cliente firma digitalmente en la plataforma web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Cuando firma, el deal pasa a "Contrato Firmado" automáticamente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 emite la Licitación PAY y se notifica a Tamara y Pablo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5 — Firmado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¡El deal está ganado! En este paso podés ver la Licitación PAY emitida, el contrato firmado, y reabrir el deal si es necesario.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⚠️ El retroceso no elimina firmas digitales ya registradas. Consultá con el equipo legal antes de retroceder un deal firmado.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Gestión de Usuarios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sección Usuarios (visible solo para Admin) permite gestionar el equipo interno del CRM.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14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Nombre / Apellido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Identificación del usuario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Email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Email de acceso (se usa para enviar el código OTP)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Rol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Admin, Sales o Viewer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Estado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Activo / Inactivo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Último acceso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Fecha y hora del último login exitoso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Para dar acceso a una persona nueva: creala en la sección Usuarios → desde ese momento puede hacer login con su email y el OTP que recibe.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Tareas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"+ Nueva Tarea" en la sección Tareas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Completá el título, el deal al que pertenece, fecha límite y prioridad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Las tareas pendientes aparecen en la columna izquierda; las completadas en la derecha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Tildá la casilla para marcar como completada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✕ para eliminar una tarea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Configuración del Sistema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Parámetros generales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la sección Configuración podés editar: nombre de la empresa, datos bancarios, configuración de email, etc.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Reglas de Complejidad del Asistente IA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Este panel define los criterios que el Asistente IA usa para clasificar cada proceso durante el Discovery.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 qué sirve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Rangos de pasos/sistemas/horas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Definen cuándo un proceso es simple, media, alta, etc.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% Auto base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Punto de partida del % de automatización antes de penalidades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Semanas por fase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Determinan el Gantt en la propuesta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Precios de fallback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 usan cuando no hay producto en inventory para esa complejidad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Producto desarrollo/soporte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Producto del catálogo que se asigna automáticamente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Ejemplo IA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Texto heurístico que el Asistente usa para validar su clasificación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El campo Ejemplo IA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Es el campo más poderoso de la tabla. Escribí una descripción de un proceso real representativo del nivel.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Ejemplo para "media": "Carga de facturas desde Excel al ERP con validación de duplicados."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El Asistente compara el proceso del cliente con este ejemplo para confirmar el nivel.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Preguntas Frecuentes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¿Puedo tener dos deals activos para el mismo cliente?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Sí. Cada cliente puede tener múltiples deals simultáneos. El campo "Descripción" del deal (máx. 20 caracteres) te permite identificarlos fácilmente.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¿Qué pasa si el cliente ya inició el proceso por la web?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CRM Desktop detecta automáticamente el deal y la sesión de discovery existentes. Al abrir el Flujo del Deal, el chat de Discovery muestra el historial previo y podés continuar desde donde el cliente se quedó.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¿Cómo sé si aplica el descuento web?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el paso de Propuesta, el documento generado indica si aplica el descuento web (30%). Se activa automáticamente cuando el deal es iniciado por el cliente desde la web pública.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  <w:p>
      <w:pPr>
        <w:pStyle w:val="Heading1"/>
      </w:pPr>
      <w:r>
        <w:t>Pipeline de Entrega</w:t>
      </w:r>
    </w:p>
    <w:p>
      <w:r>
        <w:rPr/>
        <w:t xml:space="preserve">Cuando un deal pasa a "Ganado", el sistema crea automaticamente el Pipeline de Entrega. Este pipeline gestiona la ejecucion del proyecto desde el kick-off hasta el soporte activo.</w:t>
      </w:r>
    </w:p>
    <w:p>
      <w:r>
        <w:t/>
      </w:r>
    </w:p>
    <w:p>
      <w:r>
        <w:rPr/>
        <w:t xml:space="preserve">El widget del Pipeline de Entrega aparece embebido en el paso Ganado y En Ejecucion del Flujo de Deal.</w:t>
      </w:r>
    </w:p>
    <w:p>
      <w:r>
        <w:t/>
      </w:r>
    </w:p>
    <w:p>
      <w:pPr>
        <w:pStyle w:val="Heading2"/>
      </w:pPr>
      <w:r>
        <w:t>Las 6 fases del proyecto</w:t>
      </w:r>
    </w:p>
    <w:tbl>
      <w:tblPr>
        <w:tblW w:w="9360" w:type="dxa"/>
        <w:tblBorders>
          <w:top w:val="single" w:sz="4" w:color="CCCCCC"/>
          <w:bottom w:val="single" w:sz="4" w:color="CCCCCC"/>
          <w:left w:val="single" w:sz="4" w:color="CCCCCC"/>
          <w:right w:val="single" w:sz="4" w:color="CCCCCC"/>
          <w:insideH w:val="single" w:sz="4" w:color="CCCCCC"/>
          <w:insideV w:val="single" w:sz="4" w:color="CCCCCC"/>
        </w:tblBorders>
        <w:tblCellMar>
          <w:top w:w="0" w:type="dxa"/>
          <w:bottom w:w="0" w:type="dxa"/>
        </w:tblCellMar>
      </w:tblPr>
      <w:tr>
        <w:tc>
          <w:tcPr>
            <w:tcW w:w="2800" w:type="dxa"/>
            <w:shd w:val="clear" w:color="auto" w:fill="2E405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</w:rPr>
              <w:t>Fase</w:t>
            </w:r>
          </w:p>
        </w:tc>
        <w:tc>
          <w:tcPr>
            <w:tcW w:w="6560" w:type="dxa"/>
            <w:shd w:val="clear" w:color="auto" w:fill="2E405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</w:rPr>
              <w:t>Descripcion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Pre-Requisitos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Condiciones de inicio: pago anticipo (30%), contrato firmado, infraestructura disponible, licencias UiPath, kick-off realizado.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PDD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Relevamiento y documentacion del proceso. La fecha de inicio real se confirma al comenzar esta fase.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Desarrollo RPA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Construccion del bot segun el PDD aprobado. Incluye SDD, desarrollo en DEV y deploy en UAT.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UAT - Pruebas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Pruebas de aceptacion con el cliente. Incluye plan de pruebas, ejecucion, sign-off y manual de usuario.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Despliegue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Puesta en produccion. Deploy PROD, guia de instalacion, release notes, codigo fuente y go-live.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Soporte Activo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3 ejecuciones correctas confirman inicio de soporte pago. Cobro del saldo final (70%) y mensualidades.</w:t>
            </w:r>
          </w:p>
        </w:tc>
      </w:tr>
    </w:tbl>
    <w:p>
      <w:r>
        <w:t/>
      </w:r>
    </w:p>
    <w:p>
      <w:pPr>
        <w:pStyle w:val="Heading2"/>
      </w:pPr>
      <w:r>
        <w:t>Tipos de tareas</w:t>
      </w:r>
    </w:p>
    <w:p>
      <w:pPr>
        <w:numPr>
          <w:ilvl w:val="0"/>
          <w:numId w:val="1"/>
        </w:numPr>
      </w:pPr>
      <w:r>
        <w:t xml:space="preserve">Pago: muestra el monto y boton "Confirmar recepcion"</w:t>
      </w:r>
    </w:p>
    <w:p>
      <w:pPr>
        <w:numPr>
          <w:ilvl w:val="0"/>
          <w:numId w:val="1"/>
        </w:numPr>
      </w:pPr>
      <w:r>
        <w:t xml:space="preserve">Documento: boton "Marcar entregado"</w:t>
      </w:r>
    </w:p>
    <w:p>
      <w:pPr>
        <w:numPr>
          <w:ilvl w:val="0"/>
          <w:numId w:val="1"/>
        </w:numPr>
      </w:pPr>
      <w:r>
        <w:t xml:space="preserve">Aprobacion: boton "Marcar aprobado"</w:t>
      </w:r>
    </w:p>
    <w:p>
      <w:pPr>
        <w:numPr>
          <w:ilvl w:val="0"/>
          <w:numId w:val="1"/>
        </w:numPr>
      </w:pPr>
      <w:r>
        <w:t xml:space="preserve">Manual: boton "Marcar completado"</w:t>
      </w:r>
    </w:p>
    <w:p>
      <w:pPr>
        <w:numPr>
          <w:ilvl w:val="0"/>
          <w:numId w:val="1"/>
        </w:numPr>
      </w:pPr>
      <w:r>
        <w:t xml:space="preserve">Sistema: se completan automaticamente, sin intervencion</w:t>
      </w:r>
    </w:p>
    <w:p>
      <w:r>
        <w:t/>
      </w:r>
    </w:p>
    <w:p>
      <w:pPr>
        <w:pStyle w:val="Heading1"/>
      </w:pPr>
      <w:r>
        <w:t>Pausar y Resumir un Proyecto</w:t>
      </w:r>
    </w:p>
    <w:p>
      <w:r>
        <w:rPr/>
        <w:t xml:space="preserve">Si el proyecto se detiene por incumplimiento del cliente, registra una pausa formal. Los tiempos de pausa se descuentan del calculo de desvio — el KPI de RPAForce no se ve afectado.</w:t>
      </w:r>
    </w:p>
    <w:p>
      <w:r>
        <w:t/>
      </w:r>
    </w:p>
    <w:p>
      <w:pPr>
        <w:pStyle w:val="Heading2"/>
      </w:pPr>
      <w:r>
        <w:t>Como pausar</w:t>
      </w:r>
    </w:p>
    <w:p>
      <w:pPr>
        <w:numPr>
          <w:ilvl w:val="0"/>
          <w:numId w:val="1"/>
        </w:numPr>
      </w:pPr>
      <w:r>
        <w:t xml:space="preserve">Ir al Flujo de Deal del deal Ganado</w:t>
      </w:r>
    </w:p>
    <w:p>
      <w:pPr>
        <w:numPr>
          <w:ilvl w:val="0"/>
          <w:numId w:val="1"/>
        </w:numPr>
      </w:pPr>
      <w:r>
        <w:t xml:space="preserve">Hacer clic en "Pausar proyecto"</w:t>
      </w:r>
    </w:p>
    <w:p>
      <w:pPr>
        <w:numPr>
          <w:ilvl w:val="0"/>
          <w:numId w:val="1"/>
        </w:numPr>
      </w:pPr>
      <w:r>
        <w:t xml:space="preserve">Seleccionar el tipo de causa</w:t>
      </w:r>
    </w:p>
    <w:p>
      <w:pPr>
        <w:numPr>
          <w:ilvl w:val="0"/>
          <w:numId w:val="1"/>
        </w:numPr>
      </w:pPr>
      <w:r>
        <w:t xml:space="preserve">Ingresar el nombre del responsable del cliente (obligatorio)</w:t>
      </w:r>
    </w:p>
    <w:p>
      <w:pPr>
        <w:numPr>
          <w:ilvl w:val="0"/>
          <w:numId w:val="1"/>
        </w:numPr>
      </w:pPr>
      <w:r>
        <w:t xml:space="preserve">Describir el detalle de la causa (obligatorio)</w:t>
      </w:r>
    </w:p>
    <w:p>
      <w:pPr>
        <w:numPr>
          <w:ilvl w:val="0"/>
          <w:numId w:val="1"/>
        </w:numPr>
      </w:pPr>
      <w:r>
        <w:t xml:space="preserve">Confirmar</w:t>
      </w:r>
    </w:p>
    <w:p>
      <w:r>
        <w:t/>
      </w:r>
    </w:p>
    <w:tbl>
      <w:tblPr>
        <w:tblW w:w="9360" w:type="dxa"/>
        <w:tblBorders>
          <w:top w:val="single" w:sz="4" w:color="CCCCCC"/>
          <w:bottom w:val="single" w:sz="4" w:color="CCCCCC"/>
          <w:left w:val="single" w:sz="4" w:color="CCCCCC"/>
          <w:right w:val="single" w:sz="4" w:color="CCCCCC"/>
          <w:insideH w:val="single" w:sz="4" w:color="CCCCCC"/>
          <w:insideV w:val="single" w:sz="4" w:color="CCCCCC"/>
        </w:tblBorders>
        <w:tblCellMar>
          <w:top w:w="0" w:type="dxa"/>
          <w:bottom w:w="0" w:type="dxa"/>
        </w:tblCellMar>
      </w:tblPr>
      <w:tr>
        <w:tc>
          <w:tcPr>
            <w:tcW w:w="2800" w:type="dxa"/>
            <w:shd w:val="clear" w:color="auto" w:fill="2E405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</w:rPr>
              <w:t>Tipo de causa</w:t>
            </w:r>
          </w:p>
        </w:tc>
        <w:tc>
          <w:tcPr>
            <w:tcW w:w="6560" w:type="dxa"/>
            <w:shd w:val="clear" w:color="auto" w:fill="2E405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</w:rPr>
              <w:t>Cuando usarlo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Falta de pago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El cliente no realizo el pago del anticipo o saldo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Infraestructura no disponible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La maquina, SO o accesos no estan listos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Aprobacion pendiente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El cliente no aprobo el PDD u otro entregable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Cliente ausente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El cliente no se presenta a las sesiones acordadas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Recursos no disponibles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El Process Owner o SME no estan disponibles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Causa interna RPAForce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La demora es por el lado de RPAForce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Otra causa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Cualquier otra situacion</w:t>
            </w:r>
          </w:p>
        </w:tc>
      </w:tr>
    </w:tbl>
    <w:p>
      <w:r>
        <w:t/>
      </w:r>
    </w:p>
    <w:p>
      <w:pPr>
        <w:pStyle w:val="Heading2"/>
      </w:pPr>
      <w:r>
        <w:t>Como resumir</w:t>
      </w:r>
    </w:p>
    <w:p>
      <w:r>
        <w:rPr/>
        <w:t xml:space="preserve">Hacer clic en "Resumir proyecto". El sistema calcula automaticamente la duracion de la pausa y la descuenta de los KPIs de la fase correspondiente.</w:t>
      </w:r>
    </w:p>
    <w:p>
      <w:r>
        <w:t/>
      </w:r>
    </w:p>
    <w:p>
      <w:pPr>
        <w:pStyle w:val="Heading1"/>
      </w:pPr>
      <w:r>
        <w:t>Vista "Entrega de Proyectos"</w:t>
      </w:r>
    </w:p>
    <w:p>
      <w:r>
        <w:rPr/>
        <w:t xml:space="preserve">Esta vista (menu lateral) muestra todos los proyectos activos en entrega. Filtros por fase y estado. Cada tarjeta muestra: empresa, monto, dias desde inicio, fase activa, progreso, tareas pendientes. Click en tarjeta navega al Flujo de Deal.</w:t>
      </w:r>
    </w:p>
    <w:p>
      <w:r>
        <w:t/>
      </w:r>
    </w:p>
    <w:p>
      <w:pPr>
        <w:pStyle w:val="Heading1"/>
      </w:pPr>
      <w:r>
        <w:t>KPIs y Reportes</w:t>
      </w:r>
    </w:p>
    <w:p>
      <w:r>
        <w:rPr/>
        <w:t xml:space="preserve">La seccion "KPIs &amp; Reportes" ofrece 4 niveles de analisis:</w:t>
      </w:r>
    </w:p>
    <w:p>
      <w:r>
        <w:t/>
      </w:r>
    </w:p>
    <w:tbl>
      <w:tblPr>
        <w:tblW w:w="9360" w:type="dxa"/>
        <w:tblBorders>
          <w:top w:val="single" w:sz="4" w:color="CCCCCC"/>
          <w:bottom w:val="single" w:sz="4" w:color="CCCCCC"/>
          <w:left w:val="single" w:sz="4" w:color="CCCCCC"/>
          <w:right w:val="single" w:sz="4" w:color="CCCCCC"/>
          <w:insideH w:val="single" w:sz="4" w:color="CCCCCC"/>
          <w:insideV w:val="single" w:sz="4" w:color="CCCCCC"/>
        </w:tblBorders>
        <w:tblCellMar>
          <w:top w:w="0" w:type="dxa"/>
          <w:bottom w:w="0" w:type="dxa"/>
        </w:tblCellMar>
      </w:tblPr>
      <w:tr>
        <w:tc>
          <w:tcPr>
            <w:tcW w:w="2800" w:type="dxa"/>
            <w:shd w:val="clear" w:color="auto" w:fill="2E405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</w:rPr>
              <w:t>Tab</w:t>
            </w:r>
          </w:p>
        </w:tc>
        <w:tc>
          <w:tcPr>
            <w:tcW w:w="6560" w:type="dxa"/>
            <w:shd w:val="clear" w:color="auto" w:fill="2E405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</w:rPr>
              <w:t>Que muestra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General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Funnel de ventas, tasa de conversion, tiempo promedio por stage, revenue por mes, ticket por complejidad.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Por Empresa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Proyectos activos, cumplimiento por fase (descontando pausas), inversion total y ROI estimado.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Por Deal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Historial de stages con duracion real vs promedio del sistema.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Por Proyecto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Gantt planificado vs real, desvio por fase (efectivo = real - pausas), semaforo, timeline de pausas.</w:t>
            </w:r>
          </w:p>
        </w:tc>
      </w:tr>
    </w:tbl>
    <w:p>
      <w:r>
        <w:t/>
      </w:r>
    </w:p>
    <w:p>
      <w:pPr>
        <w:pStyle w:val="Heading2"/>
      </w:pPr>
      <w:r>
        <w:t>Semaforo de cumplimiento</w:t>
      </w:r>
    </w:p>
    <w:p>
      <w:pPr>
        <w:numPr>
          <w:ilvl w:val="0"/>
          <w:numId w:val="1"/>
        </w:numPr>
      </w:pPr>
      <w:r>
        <w:t xml:space="preserve">[OK] Verde: desvio &lt;= 10% del tiempo planificado</w:t>
      </w:r>
    </w:p>
    <w:p>
      <w:pPr>
        <w:numPr>
          <w:ilvl w:val="0"/>
          <w:numId w:val="1"/>
        </w:numPr>
      </w:pPr>
      <w:r>
        <w:t xml:space="preserve">[WARN] Amarillo: desvio entre 10% y 25%</w:t>
      </w:r>
    </w:p>
    <w:p>
      <w:pPr>
        <w:numPr>
          <w:ilvl w:val="0"/>
          <w:numId w:val="1"/>
        </w:numPr>
      </w:pPr>
      <w:r>
        <w:t xml:space="preserve">[LATE] Rojo: desvio &gt; 25%</w:t>
      </w:r>
    </w:p>
    <w:p>
      <w:pPr>
        <w:numPr>
          <w:ilvl w:val="0"/>
          <w:numId w:val="1"/>
        </w:numPr>
      </w:pPr>
      <w:r>
        <w:t xml:space="preserve">[ACTV] Azul: fase actualmente en curso</w:t>
      </w:r>
    </w:p>
    <w:p>
      <w:r>
        <w:t/>
      </w:r>
    </w:p>
    <w:p>
      <w:pPr>
        <w:pStyle w:val="Heading2"/>
      </w:pPr>
      <w:r>
        <w:t>Export HTML</w:t>
      </w:r>
    </w:p>
    <w:p>
      <w:r>
        <w:rPr/>
        <w:t xml:space="preserve">En el tab "Por Proyecto", el boton "HTML" genera un reporte exportable con: Gantt visual plan vs real, tabla de fases con desvios, registro completo de pausas.</w:t>
      </w:r>
    </w:p>
    <w:p>
      <w:r>
        <w:t/>
      </w:r>
    </w:p>
    <w:tbl>
      <w:tblPr>
        <w:tblW w:w="9360" w:type="dxa"/>
        <w:tblBorders>
          <w:top w:val="single" w:sz="4" w:color="CCCCCC"/>
          <w:bottom w:val="single" w:sz="4" w:color="CCCCCC"/>
          <w:left w:val="single" w:sz="4" w:color="CCCCCC"/>
          <w:right w:val="single" w:sz="4" w:color="CCCCCC"/>
        </w:tblBorders>
      </w:tblPr>
      <w:tr>
        <w:tc>
          <w:tcPr>
            <w:shd w:val="clear" w:color="auto" w:fill="FFF9C4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b/>
              </w:rPr>
              <w:t>Reporte mensual automatico</w:t>
            </w:r>
          </w:p>
          <w:p>
            <w:r>
              <w:t xml:space="preserve">El dia 1 de cada mes, el sistema envia automaticamente un resumen al contacto del cliente.</w:t>
            </w:r>
          </w:p>
          <w:p>
            <w:r>
              <w:t xml:space="preserve">Incluye: % completado por fase, desvios, pausas del mes con causa y responsable.</w:t>
            </w:r>
          </w:p>
        </w:tc>
      </w:tr>
    </w:tbl>
    <w:p>
      <w:r>
        <w:t/>
      </w:r>
    </w:p>
    <w:p>
      <w:pPr>
        <w:pStyle w:val="Heading1"/>
      </w:pPr>
      <w:r>
        <w:t>Pipeline ABM (actualizado)</w:t>
      </w:r>
    </w:p>
    <w:p>
      <w:r>
        <w:rPr/>
        <w:t xml:space="preserve">La seccion Pipeline ABM ahora tiene 3 columnas:</w:t>
      </w:r>
    </w:p>
    <w:p>
      <w:pPr>
        <w:numPr>
          <w:ilvl w:val="0"/>
          <w:numId w:val="1"/>
        </w:numPr>
      </w:pPr>
      <w:r>
        <w:t xml:space="preserve">Etapas Comerciales: etapas del pipeline de ventas</w:t>
      </w:r>
    </w:p>
    <w:p>
      <w:pPr>
        <w:numPr>
          <w:ilvl w:val="0"/>
          <w:numId w:val="1"/>
        </w:numPr>
      </w:pPr>
      <w:r>
        <w:t xml:space="preserve">Tareas de la etapa: tareas configuradas por etapa</w:t>
      </w:r>
    </w:p>
    <w:p>
      <w:pPr>
        <w:numPr>
          <w:ilvl w:val="0"/>
          <w:numId w:val="1"/>
        </w:numPr>
      </w:pPr>
      <w:r>
        <w:t xml:space="preserve">Fases de Entrega: referencia de las 6 fases con sus tareas (solo lectura)</w:t>
      </w:r>
    </w:p>
    <w:p>
      <w:r>
        <w:t/>
      </w:r>
    </w:p>
    <w:p>
      <w:pPr>
        <w:pStyle w:val="Heading1"/>
      </w:pPr>
      <w:r>
        <w:t>Tarifas Horarias (solo Admin)</w:t>
      </w:r>
    </w:p>
    <w:p>
      <w:r>
        <w:rPr/>
        <w:t xml:space="preserve">La seccion "Tarifas Horarias" gestiona las tarifas USD/hora por pais, usadas en el calculo de ROI en propuestas.</w:t>
      </w:r>
    </w:p>
    <w:p>
      <w:pPr>
        <w:numPr>
          <w:ilvl w:val="0"/>
          <w:numId w:val="1"/>
        </w:numPr>
      </w:pPr>
      <w:r>
        <w:t xml:space="preserve">Tabla agrupada por region</w:t>
      </w:r>
    </w:p>
    <w:p>
      <w:pPr>
        <w:numPr>
          <w:ilvl w:val="0"/>
          <w:numId w:val="1"/>
        </w:numPr>
      </w:pPr>
      <w:r>
        <w:t xml:space="preserve">Edicion inline de tarifa y notas</w:t>
      </w:r>
    </w:p>
    <w:p>
      <w:pPr>
        <w:numPr>
          <w:ilvl w:val="0"/>
          <w:numId w:val="1"/>
        </w:numPr>
      </w:pPr>
      <w:r>
        <w:t xml:space="preserve">Toggle activo/inactivo</w:t>
      </w:r>
    </w:p>
    <w:p>
      <w:pPr>
        <w:numPr>
          <w:ilvl w:val="0"/>
          <w:numId w:val="1"/>
        </w:numPr>
      </w:pPr>
      <w:r>
        <w:t xml:space="preserve">Agregar nuevo pais con codigo ISO de 2 letras</w:t>
      </w:r>
    </w:p>
    <w:p>
      <w:r>
        <w:t/>
      </w:r>
    </w:p>
    <w:tbl>
      <w:tblPr>
        <w:tblW w:w="9360" w:type="dxa"/>
        <w:tblBorders>
          <w:top w:val="single" w:sz="4" w:color="CCCCCC"/>
          <w:bottom w:val="single" w:sz="4" w:color="CCCCCC"/>
          <w:left w:val="single" w:sz="4" w:color="CCCCCC"/>
          <w:right w:val="single" w:sz="4" w:color="CCCCCC"/>
        </w:tblBorders>
      </w:tblPr>
      <w:tr>
        <w:tc>
          <w:tcPr>
            <w:shd w:val="clear" w:color="auto" w:fill="E8F5E9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b/>
              </w:rPr>
              <w:t>Memoria del Asistente IA</w:t>
            </w:r>
          </w:p>
          <w:p>
            <w:r>
              <w:t xml:space="preserve">El Asistente recuerda el contexto de cada empresa entre sesiones.</w:t>
            </w:r>
          </w:p>
          <w:p>
            <w:r>
              <w:t xml:space="preserve">Si la empresa ya hizo un Discovery anterior, el Asistente lo sabe y personaliza la bienvenida.</w:t>
            </w:r>
          </w:p>
          <w:p>
            <w:r>
              <w:t xml:space="preserve">El conocimiento se acumula automaticamente — no requiere configuracion.</w:t>
            </w:r>
          </w:p>
        </w:tc>
      </w:tr>
    </w:tbl>
    <w:p>
      <w:r>
        <w:t/>
      </w:r>
    </w:p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1a6b3c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2026-03-11T18:04:51.744Z</dcterms:created>
  <dcterms:modified xsi:type="dcterms:W3CDTF">2026-03-11T18:04:51.744Z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