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a6b3c"/>
          <w:sz w:val="64"/>
          <w:szCs w:val="64"/>
        </w:rPr>
        <w:t xml:space="preserve">RPAForce</w:t>
      </w:r>
    </w:p>
    <w:p>
      <w:pPr>
        <w:pBdr>
          <w:bottom w:val="single" w:color="12CA5B" w:sz="12" w:space="0"/>
        </w:pBdr>
        <w:spacing w:after="2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333333"/>
          <w:sz w:val="40"/>
          <w:szCs w:val="40"/>
        </w:rPr>
        <w:t xml:space="preserve">Guía de Implementación RPA</w:t>
      </w:r>
    </w:p>
    <w:p>
      <w:pPr>
        <w:spacing w:after="12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Metodología paso a paso para automatizar procesos</w:t>
      </w:r>
    </w:p>
    <w:p>
      <w:pPr>
        <w:spacing w:after="144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UiPath · Automation Anywhere · Power Automate · Blue Prism</w:t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>Versión 2.2 — Marzo 2026</w:t>
      </w:r>
    </w:p>
    <w:p>
      <w:r>
        <w:br w:type="pag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Introducción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Esta guía describe la metodología estándar de RPAForce para la implementación de proyectos de automatización robótica de procesos (RPA). Aplica a todas las plataformas (UiPath, Automation Anywhere, Power Automate, Blue Prism) y a todos los niveles de complejidad.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objetivo es garantizar que cada proyecto se entregue con alta calidad, en tiempo y con plena aceptación del cliente.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Resumen de fases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546"/>
        <w:gridCol w:w="30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Fase 1</w:t>
            </w:r>
          </w:p>
        </w:tc>
        <w:tc>
          <w:tcPr>
            <w:tcW w:type="dxa" w:w="5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9640"/>
                <w:sz w:val="24"/>
                <w:szCs w:val="24"/>
              </w:rPr>
              <w:t xml:space="preserve">Discovery y Relevamiento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Mapeo completo del proceso actual con el Asistente IA y el equipo del cliente.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⏱ </w:t>
            </w:r>
            <w:r>
              <w:rPr>
                <w:rFonts w:ascii="Arial" w:cs="Arial" w:eastAsia="Arial" w:hAnsi="Arial"/>
                <w:b/>
                <w:bCs/>
                <w:color w:val="0d9640"/>
                <w:sz w:val="22"/>
                <w:szCs w:val="22"/>
              </w:rPr>
              <w:t xml:space="preserve">1-2 semanas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546"/>
        <w:gridCol w:w="30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Fase 2</w:t>
            </w:r>
          </w:p>
        </w:tc>
        <w:tc>
          <w:tcPr>
            <w:tcW w:type="dxa" w:w="5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9640"/>
                <w:sz w:val="24"/>
                <w:szCs w:val="24"/>
              </w:rPr>
              <w:t xml:space="preserve">PDD — Process Design Document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Especificación técnica detallada del robot: flujo, excepciones, sistemas, credenciales.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⏱ </w:t>
            </w:r>
            <w:r>
              <w:rPr>
                <w:rFonts w:ascii="Arial" w:cs="Arial" w:eastAsia="Arial" w:hAnsi="Arial"/>
                <w:b/>
                <w:bCs/>
                <w:color w:val="0d9640"/>
                <w:sz w:val="22"/>
                <w:szCs w:val="22"/>
              </w:rPr>
              <w:t xml:space="preserve">1-3 semanas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546"/>
        <w:gridCol w:w="30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Fase 3</w:t>
            </w:r>
          </w:p>
        </w:tc>
        <w:tc>
          <w:tcPr>
            <w:tcW w:type="dxa" w:w="5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9640"/>
                <w:sz w:val="24"/>
                <w:szCs w:val="24"/>
              </w:rPr>
              <w:t xml:space="preserve">Desarrollo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Construcción del robot en la plataforma seleccionada.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⏱ </w:t>
            </w:r>
            <w:r>
              <w:rPr>
                <w:rFonts w:ascii="Arial" w:cs="Arial" w:eastAsia="Arial" w:hAnsi="Arial"/>
                <w:b/>
                <w:bCs/>
                <w:color w:val="0d9640"/>
                <w:sz w:val="22"/>
                <w:szCs w:val="22"/>
              </w:rPr>
              <w:t xml:space="preserve">2-8 semanas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546"/>
        <w:gridCol w:w="30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Fase 4</w:t>
            </w:r>
          </w:p>
        </w:tc>
        <w:tc>
          <w:tcPr>
            <w:tcW w:type="dxa" w:w="5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9640"/>
                <w:sz w:val="24"/>
                <w:szCs w:val="24"/>
              </w:rPr>
              <w:t xml:space="preserve">UAT — User Acceptance Testing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Pruebas con el cliente usando datos reales. Corrección de issues.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⏱ </w:t>
            </w:r>
            <w:r>
              <w:rPr>
                <w:rFonts w:ascii="Arial" w:cs="Arial" w:eastAsia="Arial" w:hAnsi="Arial"/>
                <w:b/>
                <w:bCs/>
                <w:color w:val="0d9640"/>
                <w:sz w:val="22"/>
                <w:szCs w:val="22"/>
              </w:rPr>
              <w:t xml:space="preserve">1-2 semanas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546"/>
        <w:gridCol w:w="30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Fase 5</w:t>
            </w:r>
          </w:p>
        </w:tc>
        <w:tc>
          <w:tcPr>
            <w:tcW w:type="dxa" w:w="5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9640"/>
                <w:sz w:val="24"/>
                <w:szCs w:val="24"/>
              </w:rPr>
              <w:t xml:space="preserve">Deploy y Go-Live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Configuración en producción, checklist de go-live y supervisión del primer run.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⏱ </w:t>
            </w:r>
            <w:r>
              <w:rPr>
                <w:rFonts w:ascii="Arial" w:cs="Arial" w:eastAsia="Arial" w:hAnsi="Arial"/>
                <w:b/>
                <w:bCs/>
                <w:color w:val="0d9640"/>
                <w:sz w:val="22"/>
                <w:szCs w:val="22"/>
              </w:rPr>
              <w:t xml:space="preserve">1 semana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546"/>
        <w:gridCol w:w="30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Fase 6</w:t>
            </w:r>
          </w:p>
        </w:tc>
        <w:tc>
          <w:tcPr>
            <w:tcW w:type="dxa" w:w="5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9640"/>
                <w:sz w:val="24"/>
                <w:szCs w:val="24"/>
              </w:rPr>
              <w:t xml:space="preserve">Soporte y Mantenimiento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Monitoreo, actualizaciones ante cambios y gestión de incidencias.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⏱ </w:t>
            </w:r>
            <w:r>
              <w:rPr>
                <w:rFonts w:ascii="Arial" w:cs="Arial" w:eastAsia="Arial" w:hAnsi="Arial"/>
                <w:b/>
                <w:bCs/>
                <w:color w:val="0d9640"/>
                <w:sz w:val="22"/>
                <w:szCs w:val="22"/>
              </w:rPr>
              <w:t xml:space="preserve">Ongoing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Fase 1 — Discovery y Relevamiento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Objetivo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Obtener una descripción completa y precisa del proceso a automatizar: pasos, sistemas, volumen, excepciones y factores técnicos.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Participantes requeridos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Process Owner: aprueba el alcance y tiene autoridad para tomar decisiones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Key Users: ejecutan el proceso día a día y conocen todos los casos especiales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Asesor RPAForce: facilita la sesión y asegura que la información sea completa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Método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>El Asistente IA de RPAForce conduce la sesión de Discovery con preguntas estructuradas. El resultado es un JSON con todos los datos del proceso que alimenta automáticamente la propuesta.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Entregables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Informe de Discovery con diagrama BPMN del proceso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Análisis de complejidad y % de automatización estimado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Cálculo preliminar de ROI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Identificación de riesgos técnicos (Citrix, terminales, anti-bots)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Fase 2 — PDD (Process Design Document)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Objetivo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Documentar en detalle cómo funcionará el robot: cada paso, cada decisión, cada excepción.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Contenido del PDD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Descripción funcional del robot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Diagrama de flujo TO-BE (cómo será el proceso automatizado)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Listado completo de sistemas y credenciales requeridas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Casos de excepción y cómo el robot los maneja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Reglas de negocio implementadas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Criterios de aceptación (qué constituye un run exitoso)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Datos de entrada y salida esperados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Criterio de aprobación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PDD debe ser firmado por el Process Owner antes de iniciar el desarrollo. Sin firma aprobada, no se comienza a codificar.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Fase 3 — Desarrollo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Estándares de codificación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Nomenclatura de variables: camelCase, en inglés, descriptiva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Manejo de errores: try-catch en cada actividad crítica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Logs: registrar inicio, fin, transacciones procesadas y errores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Credenciales: solo desde Orchestrator Assets o vault — nunca hardcodeadas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Modularización: separar por sub-procesos independientes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Control de versiones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Todo el código vive en el repositorio de control de versiones. Cada commit debe incluir el número de issue o tarea y una descripción corta del cambio.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Revisión de código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Antes de pasar a UAT, el código debe ser revisado por un segundo desarrollador. La checklist de revisión incluye: manejo de errores, credenciales, logs, performance y cumplimiento del PDD.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Fase 4 — UAT (User Acceptance Testing)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Objetivo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Validar con el cliente que el robot funciona correctamente usando datos y condiciones reales.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Protocolo de UAT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Preparar set de datos de prueba que cubra: caso feliz, casos de excepción, casos extremos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Ejecutar el robot en ambiente de testing con los datos preparados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Key User verifica los resultados transacción por transacción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Registrar todos los issues en la planilla de UAT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Clasificar issues: Bloqueante / Mayor / Menor / Mejora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Corregir todos los Bloqueantes y Mayores antes del go-live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Cliente firma el acta de aceptación UAT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⚠️ Criterio de go-live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No se hace go-live con issues Bloqueantes o Mayores abiertos.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Issues Menores pueden quedar como backlog para la primera actualización de mantenimiento.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Fase 5 — Deploy y Go-Live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Pre-requisitos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Completar el Checklist de Puesta en Marcha antes de ejecutar en producción. Ver documento: RPAForce_Checklist_PuestaEnMarcha.docx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Proceso de go-live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Deploy del robot en el ambiente de producción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Verificación de accesos y credenciales en producción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Primer run supervisado en vivo por el equipo RPAForce y el cliente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Validación de resultados del primer run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Habilitación del scheduling automatizado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Entrega de documentación técnica y manual operativo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Firma del acta de go-live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Fase 6 — Soporte y Mantenimiento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Cobertura estándar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Monitoreo de ejecuciones y alertas de fallo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Corrección de bugs post-producción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Actualizaciones del robot ante cambios en los sistemas involucrados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Reportes mensuales de ejecución (transacciones procesadas, tiempo, errores)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Change Requests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Los cambios de alcance fuera del contrato original se formalizan mediante un Change Request (CR). El CR incluye: descripción del cambio, impacto en el robot, estimación de horas y precio. Requiere aprobación del cliente antes de ejecutarse.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Plataformas soportadas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Plataforma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Mejor para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UiPath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Proyectos enterprise con Orchestrator, alta complejidad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Automation Anywhere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Entornos con Citrix o aplicaciones legacy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Power Automate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Integración con ecosistema Microsoft 365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Blue Prism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Proyectos con requerimientos de auditoría y compliance estrictos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Custom RPA (Python/Playwright)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Procesos web simples o de bajo volumen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Factores técnicos especiales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46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Factor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Impacto en implementación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Citrix / VDI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Requiere Computer Vision — aumenta complejidad y tiempo de desarrollo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Terminal / AS/400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Requiere emulador de terminal integrado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CAPTCHA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Solución específica por tipo — puede requerir intervención humana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Token físico / MFA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Requiere coordinación con IT para cuenta de servicio especial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API disponible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Reduce complejidad — preferir API sobre UI cuando sea posible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Sistema inestable / lento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Requiere manejo especial de timeouts y reintentos</w:t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rFonts w:ascii="Arial" w:cs="Arial" w:eastAsia="Arial" w:hAnsi="Arial"/>
      <w:b/>
      <w:bCs/>
      <w:color w:val="1a6b3c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333333"/>
      <w:sz w:val="26"/>
      <w:szCs w:val="26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2026-03-11T18:04:51.961Z</dcterms:created>
  <dcterms:modified xsi:type="dcterms:W3CDTF">2026-03-11T18:04:51.961Z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