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4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1a6b3c"/>
          <w:sz w:val="64"/>
          <w:szCs w:val="64"/>
        </w:rPr>
        <w:t xml:space="preserve">RPAForce</w:t>
      </w:r>
    </w:p>
    <w:p>
      <w:pPr>
        <w:pBdr>
          <w:bottom w:val="single" w:color="12CA5B" w:sz="12" w:space="0"/>
        </w:pBdr>
        <w:spacing w:after="2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333333"/>
          <w:sz w:val="40"/>
          <w:szCs w:val="40"/>
        </w:rPr>
        <w:t xml:space="preserve">Go-Live Checklist</w:t>
      </w:r>
    </w:p>
    <w:p>
      <w:pPr>
        <w:spacing w:after="12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RPA Bot Production Launch Verification</w:t>
      </w:r>
    </w:p>
    <w:p>
      <w:pPr>
        <w:spacing w:after="144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Complete before every production deployment</w:t>
      </w:r>
    </w:p>
    <w:p>
      <w:pPr>
        <w:spacing w:after="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Version 1.1 — March 2026</w:t>
      </w:r>
    </w:p>
    <w:p>
      <w:r>
        <w:br w:type="pag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Instructions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checklist must be completed before every production launch. Each item must be verified and marked as completed (✓) or with an observation (⚠). A blocking item that is unresolved prevents go-live.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54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7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Meaning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☐ Pending</w:t>
            </w:r>
          </w:p>
        </w:tc>
        <w:tc>
          <w:tcPr>
            <w:tcW w:type="dxa" w:w="7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Not yet verified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✓ Approved</w:t>
            </w:r>
          </w:p>
        </w:tc>
        <w:tc>
          <w:tcPr>
            <w:tcW w:type="dxa" w:w="7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Verified and compliant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⚠ With observation</w:t>
            </w:r>
          </w:p>
        </w:tc>
        <w:tc>
          <w:tcPr>
            <w:tcW w:type="dxa" w:w="7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Requires action before go-live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N/A</w:t>
            </w:r>
          </w:p>
        </w:tc>
        <w:tc>
          <w:tcPr>
            <w:tcW w:type="dxa" w:w="7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Does not apply to this project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1. Project Documentation</w:t>
      </w:r>
    </w:p>
    <w:p>
      <w:pPr>
        <w:shd w:fill="1a6b3c" w:val="clear"/>
        <w:spacing w:before="32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Documentation</w:t>
      </w:r>
    </w:p>
    <w:p>
      <w:pPr>
        <w:spacing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PDD (Process Design Document) signed by the client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Use cases documented — including exceptions and variants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>☐  Updated process flow diagram</w:t>
      </w:r>
      <w:r>
        <w:rPr>
          <w:rFonts w:ascii="Arial" w:cs="Arial" w:eastAsia="Arial" w:hAnsi="Arial"/>
          <w:color w:val="333333"/>
          <w:sz w:val="22"/>
          <w:szCs w:val="22"/>
        </w:rPr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System access credentials documented and secured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Process Owner and Key User contact details recorded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UAT checklist completed and signed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2. Production Environment</w:t>
      </w:r>
    </w:p>
    <w:p>
      <w:pPr>
        <w:shd w:fill="1a6b3c" w:val="clear"/>
        <w:spacing w:before="32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Environment and access</w:t>
      </w:r>
    </w:p>
    <w:p>
      <w:pPr>
        <w:spacing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Service account created with minimum required permissions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Access to all process systems verified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Credentials stored in Orchestrator (not in plain text variables)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Certificates and authentication tokens configured (if applicable)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Firewall rules / whitelist approved by IT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VPN or remote access configured (if system is on internal network)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Citrix / VDI configured correctly (if applicable)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3. Pre-Go-Live Testing</w:t>
      </w:r>
    </w:p>
    <w:p>
      <w:pPr>
        <w:shd w:fill="1a6b3c" w:val="clear"/>
        <w:spacing w:before="32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Testing</w:t>
      </w:r>
    </w:p>
    <w:p>
      <w:pPr>
        <w:spacing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Unit tests executed — 0 blocking errors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Integration tests with real systems (not mock)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UAT completed with client — success and exception cases covered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Volume test: run with at least 50% of real monthly volume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Error handling verified: bot logs and notifies on failure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Timeout and retries configured correctly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Manual rollback documented and tested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4. Orchestration and Scheduling</w:t>
      </w:r>
    </w:p>
    <w:p>
      <w:pPr>
        <w:shd w:fill="1a6b3c" w:val="clear"/>
        <w:spacing w:before="32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Orchestration</w:t>
      </w:r>
    </w:p>
    <w:p>
      <w:pPr>
        <w:spacing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Job configured in Orchestrator / scheduling platform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Execution schedule defined and approved by client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Maintenance window agreed (when it CANNOT run)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Automatic retries configured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Failure alerts configured — recipient defined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Execution log enabled and accessible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5. Post Go-Live Monitoring</w:t>
      </w:r>
    </w:p>
    <w:p>
      <w:pPr>
        <w:shd w:fill="1a6b3c" w:val="clear"/>
        <w:spacing w:before="32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Monitoring</w:t>
      </w:r>
    </w:p>
    <w:p>
      <w:pPr>
        <w:spacing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Monitoring owner designated on the client side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Support owner designated on the RPAForce side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Monitoring dashboard accessible to the client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Contingency plan documented (what to do if the bot fails)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First run supervised live by both teams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48-hour post-first-run review: logs and results verified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6. Go-Live Acceptance Criteria</w:t>
      </w:r>
    </w:p>
    <w:p>
      <w:pPr>
        <w:shd w:fill="1a6b3c" w:val="clear"/>
        <w:spacing w:before="320" w:after="0"/>
        <w:ind w:left="160" w:right="16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Acceptance criteria</w:t>
      </w:r>
    </w:p>
    <w:p>
      <w:pPr>
        <w:spacing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Success rate ≥ 95% in pre-launch tests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Processing time within agreed SLA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Zero data loss in tests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Client signed the UAT acceptance certificate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Technical documentation delivered to client</w:t>
      </w:r>
    </w:p>
    <w:p>
      <w:pPr>
        <w:spacing w:after="100"/>
      </w:pPr>
      <w:r>
        <w:rPr>
          <w:rFonts w:ascii="Arial" w:cs="Arial" w:eastAsia="Arial" w:hAnsi="Arial"/>
          <w:color w:val="1a6b3c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Support contract active or agreed</w:t>
      </w:r>
    </w:p>
    <w:p>
      <w:pPr>
        <w:spacing w:after="2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Go-Live Approval Signatures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4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Signature and date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RPAForce Technical Lead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Process Owner (client)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IT Manager (client)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RPAForce Account Manager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/>
            </w:r>
          </w:p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20"/>
      <w:outlineLvl w:val="0"/>
    </w:pPr>
    <w:rPr>
      <w:rFonts w:ascii="Arial" w:cs="Arial" w:eastAsia="Arial" w:hAnsi="Arial"/>
      <w:b/>
      <w:bCs/>
      <w:color w:val="1a6b3c"/>
      <w:sz w:val="30"/>
      <w:szCs w:val="3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2026-03-11T18:17:33.858Z</dcterms:created>
  <dcterms:modified xsi:type="dcterms:W3CDTF">2026-03-11T18:17:33.858Z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