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Commercial Advisor Manual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Everything you need to know to sell RPA automation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Version 2.3 - April 2026 — March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Welcome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 a commercial advisor for RPAForce, your role is to guide the client from first contact through to contract signature. You don't need a technical background — the RPAForce system is designed so you focus on the client relationship while the AI Assistant and tools handle the technical work.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manual explains step by step how the sales process works, what to do at each stage, and how to use the tools available to you.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What do you sell?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The RPA service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RPA (Robotic Process Automation) is software that automates repetitive tasks currently performed by a person at a computer. Examples that resonate with clients: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robot downloads bank statements, reconciles them with the system and generates the discrepancy report — what used to take 3 hours now takes 8 minutes"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robot loads 500 invoices into the ERP without anyone touching them, error-free and in 20 minutes"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robot monitors the vendor portal, downloads new invoices and automatically registers them"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does each project include?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Process assessment (Discovery)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Design document (PDD — Process Design Document)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Robot development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Client testing (UAT)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Production go-live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Technical documentation and operational manual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Optional monthly support and maintenance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Your advisor profile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does your profile contain?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RPAForce team creates your profile in the system. Your profile includes: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Name and email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Discount percentage you can offer clients (discount_pct)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Commission percentage on the deal value (commission_pct)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Advisory contract signed digitally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How do you access the portal?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Go to the RPAForce advisor portal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Enter your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Receive a 6-digit code by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Enter the code and access your dashboard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No password needed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Access is always via OTP (One-Time Password) sent to your registered email. No password to remember or change.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do you see in your dashboard?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Your dashboard shows all your assigned deals with their current status: stage, company, creation date and estimated value. It is read-only — actions are performed by the internal RPAForce team.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The sales process step by step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Step 1 — Identify the process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presenting RPAForce to a client, identify candidate processes for automation. The ideal characteristics are: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Repetitive: runs many times (daily, weekly, monthly)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Rule-based: has clear steps and few exceptions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Uses digital systems: the robot can operate them just like a human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High volume or high time investment: the ROI justifies the investment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Processes that typically work well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Bank and accounting reconciliations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Invoice or order entry into ERP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Report generation from multiple systems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Vendor or client onboarding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Variable commission or payroll calculations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Mass notification or communication sends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Document download and processing from portals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Step 2 — First contact and meeting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goal of the first meeting is to validate that the process is automatable and spark client interest. Focus on the client's problem: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How much time does the team spend on this process?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How many errors occur? What are the consequences?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What could they do if that time was freed up?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At the end of the meeting, schedule the Discovery: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"The next step is a session with our AI Assistant where we map the process in detail. It takes 15 to 30 minutes. Do you have availability this week?"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Step 2 — The Discovery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is the most important technical stage. The AI Assistant does the work, but you need to ensure the session is productive.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👥 Who should be in the Discovery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Process Owner: the decision-maker for the process. They can approve the scope and have authority to sign.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• Key Users: those who run the process every day. They know all the special cases, exceptions and "tricks".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Without this combination, the Discovery won't capture all necessary information and the proposal may be incomplete.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During the Discovery, your role is 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Ensure the client answers questions with the necessary level of detail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Help if the client doesn't understand a technical question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Note any comments the Assistant may not have captured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Ensure all relevant processes are analyzed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>Step 3 — Proposal (Quote)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>After the Discovery, the system automatically generates the commercial proposal.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Review the AS-IS before it reaches the client — verify the data is correct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If there are errors, regenerate the proposal from the CRM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When the client receives the proposal, follow up within 48-72 hours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the client has price objections, you can apply the additional discount you're authorized for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When the client approves, ensure the contract reaches them and they read it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Step 5 — Close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close occurs when the client digitally signs the contract. Once signed: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system automatically issues the PAY Tender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Tamara and Pablo receive the notification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implementation team takes over the project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 receive your commission according to the percentage agreed in your advisory contract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Handling Objections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"It's too expensive"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Respond with the ROI calculated in the proposal: "The robot pays for itself in [X] months. After that, the savings are pure benefit. How much does it cost the team to run this process today, including errors and rework?"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"I don't know if our systems are compatible"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"That's exactly what we analyze in the Discovery. In general, if a person can operate it from a computer, so can the robot. And if there are special cases like Citrix or terminals, we have proven solutions."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"We need to involve IT"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"Perfect. RPA doesn't require modifying systems — the robot operates them like any user. IT generally only needs to create a service account and approve access. Can we include them in the next session?"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"What if the process changes?"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"Our support service covers robot updates when the involved systems change. If it's a major scope change, we handle a formal Change Request with the corresponding budget."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Your advisory contract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operating as an advisor, you sign an advisory contract with RPAForce. This contract: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Details your discount and commission percentages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Defines commission payment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Establishes the responsibilities of both parties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Has legal validity as a digitally signed document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contract is generated by the internal RPAForce team from CRM Desktop and sent to you by email for digital signature.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Glossary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94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Robotic Process Automation — software that automates repetitive tasks on computers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Discovery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assessment session with the AI Assistant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Owner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responsible within the client company (manager, department head)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Key User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User who runs the process daily and knows all operational details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AS-IS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Current situation report: how the process works today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PDD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Design Document — detailed technical specification of how the robot will work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UAT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User Acceptance Testing — client testing phase before production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ROI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Return on Investment — how long it takes to recover the cost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Complexity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Technical difficulty level: simple, medium, medium_high, high, very_high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Tender / PAY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Internal RPAForce document with implementation team payment calculation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Change Request (CR)</w:t>
            </w:r>
          </w:p>
        </w:tc>
        <w:tc>
          <w:tcPr>
            <w:tcW w:type="dxa" w:w="6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Formal scope change request after contract signature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  <w:p>
      <w:pPr>
        <w:pStyle w:val="Heading1"/>
      </w:pPr>
      <w:r>
        <w:t>After the Close: Delivery Pipeline</w:t>
      </w:r>
    </w:p>
    <w:p>
      <w:r>
        <w:rPr/>
        <w:t xml:space="preserve">Once the deal is won, the system automatically manages project delivery through 6 phases. Your role at this stage is monitoring — no intervention needed unless the client contacts you.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  <w:insideH w:val="single" w:sz="4" w:color="CCCCCC"/>
          <w:insideV w:val="single" w:sz="4" w:color="CCCCCC"/>
        </w:tblBorders>
        <w:tblCellMar>
          <w:top w:w="0" w:type="dxa"/>
          <w:bottom w:w="0" w:type="dxa"/>
        </w:tblCellMar>
      </w:tblPr>
      <w:tr>
        <w:tc>
          <w:tcPr>
            <w:tcW w:w="280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Phase</w:t>
            </w:r>
          </w:p>
        </w:tc>
        <w:tc>
          <w:tcPr>
            <w:tcW w:w="6560" w:type="dxa"/>
            <w:shd w:val="clear" w:color="auto" w:fill="2E405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</w:rPr>
              <w:t>What happens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Pre-Requisites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Start conditions confirmed: payment, contract, infrastructure, licenses, kick-off.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PDD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Process mapping and documentation with the client team.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Development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Robot construction. Weekly progress reviews with the client.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UAT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Client acceptance testing. Quality sign-off.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Deployment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Production go-live. Documentation delivery.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</w:rPr>
              <w:t xml:space="preserve">Active Support</w:t>
            </w:r>
          </w:p>
        </w:tc>
        <w:tc>
          <w:tcPr>
            <w:tcW w:w="6560" w:type="dxa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t xml:space="preserve">Monthly support begins and final balance collected.</w:t>
            </w:r>
          </w:p>
        </w:tc>
      </w:tr>
    </w:tbl>
    <w:p>
      <w:r>
        <w:t/>
      </w:r>
    </w:p>
    <w:p>
      <w:pPr>
        <w:pStyle w:val="Heading2"/>
      </w:pPr>
      <w:r>
        <w:t>Automatic client reports</w:t>
      </w:r>
    </w:p>
    <w:p>
      <w:r>
        <w:rPr/>
        <w:t xml:space="preserve">On the 1st of each month, the system automatically sends the client contact a status report for their active projects. No action needed from you.</w:t>
      </w:r>
    </w:p>
    <w:p>
      <w:r>
        <w:t/>
      </w:r>
    </w:p>
    <w:p>
      <w:pPr>
        <w:pStyle w:val="Heading1"/>
      </w:pPr>
      <w:r>
        <w:t>Project Pauses</w:t>
      </w:r>
    </w:p>
    <w:p>
      <w:r>
        <w:rPr/>
        <w:t xml:space="preserve">If the project stalls due to client non-compliance, the RPAForce team registers a formal pause. This pause:</w:t>
      </w:r>
    </w:p>
    <w:p>
      <w:pPr>
        <w:numPr>
          <w:ilvl w:val="0"/>
          <w:numId w:val="1"/>
        </w:numPr>
      </w:pPr>
      <w:r>
        <w:t xml:space="preserve">Documents the cause and client responsible party</w:t>
      </w:r>
    </w:p>
    <w:p>
      <w:pPr>
        <w:numPr>
          <w:ilvl w:val="0"/>
          <w:numId w:val="1"/>
        </w:numPr>
      </w:pPr>
      <w:r>
        <w:t xml:space="preserve">Is excluded from RPAForce's compliance calculations</w:t>
      </w:r>
    </w:p>
    <w:p>
      <w:pPr>
        <w:numPr>
          <w:ilvl w:val="0"/>
          <w:numId w:val="1"/>
        </w:numPr>
      </w:pPr>
      <w:r>
        <w:t xml:space="preserve">Appears in the monthly report sent to the client</w:t>
      </w:r>
    </w:p>
    <w:p>
      <w:r>
        <w:t/>
      </w:r>
    </w:p>
    <w:p>
      <w:r>
        <w:rPr/>
        <w:t xml:space="preserve">This protects RPAForce's reputation and creates formal evidence of client-caused delays.</w:t>
      </w:r>
    </w:p>
    <w:p>
      <w:r>
        <w:t/>
      </w:r>
    </w:p>
    <w:p>
      <w:pPr>
        <w:pStyle w:val="Heading1"/>
      </w:pPr>
      <w:r>
        <w:t>Your portfolio KPIs</w:t>
      </w:r>
    </w:p>
    <w:p>
      <w:r>
        <w:rPr/>
        <w:t xml:space="preserve">Your advisor dashboard shows KPIs for your assigned deals: current stage, deal value, time per stage and comparison with system average. This helps identify opportunities that need attention.</w:t>
      </w:r>
    </w:p>
    <w:p>
      <w:r>
        <w:t/>
      </w:r>
    </w:p>
    <w:tbl>
      <w:tblPr>
        <w:tblW w:w="9360" w:type="dxa"/>
        <w:tblBorders>
          <w:top w:val="single" w:sz="4" w:color="CCCCCC"/>
          <w:bottom w:val="single" w:sz="4" w:color="CCCCCC"/>
          <w:left w:val="single" w:sz="4" w:color="CCCCCC"/>
          <w:right w:val="single" w:sz="4" w:color="CCCCCC"/>
        </w:tblBorders>
      </w:tblPr>
      <w:tr>
        <w:tc>
          <w:tcPr>
            <w:shd w:val="clear" w:color="auto" w:fill="E8F5E9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b/>
              </w:rPr>
              <w:t>AI Assistant remembers company context</w:t>
            </w:r>
          </w:p>
          <w:p>
            <w:r>
              <w:t xml:space="preserve">If the company has had a previous Discovery, the Assistant knows and personalizes the session.</w:t>
            </w:r>
          </w:p>
          <w:p>
            <w:r>
              <w:t xml:space="preserve">Accumulated knowledge improves the quality of each new proposal for the same client.</w:t>
            </w:r>
          </w:p>
        </w:tc>
      </w:tr>
    </w:tbl>
    <w:p>
      <w:r>
        <w:t/>
      </w:r>
    </w:p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2026-03-11T18:17:33.483Z</dcterms:created>
  <dcterms:modified xsi:type="dcterms:W3CDTF">2026-03-11T18:17:33.484Z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